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7662" w14:textId="77777777" w:rsidR="00A05762" w:rsidRPr="0065691C" w:rsidRDefault="00A05762" w:rsidP="0065691C">
      <w:pPr>
        <w:jc w:val="center"/>
        <w:rPr>
          <w:bCs/>
          <w:color w:val="B32DBD"/>
          <w:sz w:val="44"/>
          <w:szCs w:val="44"/>
          <w:u w:val="single"/>
          <w:rtl/>
        </w:rPr>
      </w:pPr>
      <w:r w:rsidRPr="0065691C">
        <w:rPr>
          <w:rFonts w:hint="cs"/>
          <w:bCs/>
          <w:color w:val="B32DBD"/>
          <w:sz w:val="44"/>
          <w:szCs w:val="44"/>
          <w:u w:val="single"/>
          <w:rtl/>
        </w:rPr>
        <w:t>קורס ניהול פיננסי לעסקים</w:t>
      </w:r>
    </w:p>
    <w:p w14:paraId="42915BC0" w14:textId="77777777" w:rsidR="00A05762" w:rsidRPr="00410E9D" w:rsidRDefault="00A05762" w:rsidP="00A05762">
      <w:pPr>
        <w:spacing w:line="360" w:lineRule="auto"/>
        <w:jc w:val="center"/>
        <w:rPr>
          <w:rFonts w:cstheme="minorHAnsi"/>
          <w:b/>
          <w:bCs/>
          <w:sz w:val="28"/>
          <w:szCs w:val="28"/>
          <w:rtl/>
        </w:rPr>
      </w:pPr>
      <w:r w:rsidRPr="00410E9D">
        <w:rPr>
          <w:rFonts w:cstheme="minorHAnsi" w:hint="cs"/>
          <w:b/>
          <w:bCs/>
          <w:sz w:val="28"/>
          <w:szCs w:val="28"/>
          <w:rtl/>
        </w:rPr>
        <w:t>כל הידע שאתם צריכים כדי להיות בשליטה פיננסית בעסק שלכם</w:t>
      </w:r>
    </w:p>
    <w:p w14:paraId="5D79BFE5" w14:textId="77777777" w:rsidR="00A05762" w:rsidRPr="00410E9D" w:rsidRDefault="00A05762" w:rsidP="00A05762">
      <w:pPr>
        <w:spacing w:line="360" w:lineRule="auto"/>
        <w:rPr>
          <w:rFonts w:cstheme="minorHAnsi"/>
          <w:b/>
          <w:bCs/>
          <w:sz w:val="24"/>
          <w:szCs w:val="24"/>
          <w:rtl/>
        </w:rPr>
      </w:pPr>
      <w:r w:rsidRPr="00410E9D">
        <w:rPr>
          <w:rFonts w:cstheme="minorHAnsi" w:hint="cs"/>
          <w:b/>
          <w:bCs/>
          <w:sz w:val="24"/>
          <w:szCs w:val="24"/>
          <w:u w:val="single"/>
          <w:rtl/>
        </w:rPr>
        <w:t>מטרת הקורס</w:t>
      </w:r>
    </w:p>
    <w:p w14:paraId="22C3AAA8" w14:textId="77777777" w:rsidR="00A05762" w:rsidRDefault="00A05762" w:rsidP="00A05762">
      <w:pPr>
        <w:spacing w:line="360" w:lineRule="auto"/>
        <w:rPr>
          <w:rFonts w:cstheme="minorHAnsi"/>
          <w:sz w:val="24"/>
          <w:szCs w:val="24"/>
          <w:rtl/>
        </w:rPr>
      </w:pPr>
      <w:r>
        <w:rPr>
          <w:rFonts w:cstheme="minorHAnsi" w:hint="cs"/>
          <w:sz w:val="24"/>
          <w:szCs w:val="24"/>
          <w:rtl/>
        </w:rPr>
        <w:t xml:space="preserve">הקניית כלים וידע רלוונטי לניהול כלכלת העסק בשוטף, שיפור הרווחיות ויצירת תזרים הכנסות אפקטיבי. הקורס מקיף נושאים כגון מימון ואשראי, התכנות כלכלית, תמחור ובקרה תקציבית ומיועד לבעלי עסקים קטנים ובינוניים המעוניינים לשפר את מיומנות ניהול הפיננסים בעסק וקבלת החלטות בהיבט הכלכלי. </w:t>
      </w:r>
    </w:p>
    <w:p w14:paraId="4776A92D" w14:textId="19983CB9" w:rsidR="00A05762" w:rsidRDefault="00A05762" w:rsidP="00A05762">
      <w:pPr>
        <w:spacing w:line="360" w:lineRule="auto"/>
        <w:rPr>
          <w:rFonts w:cstheme="minorHAnsi"/>
          <w:sz w:val="24"/>
          <w:szCs w:val="24"/>
          <w:rtl/>
        </w:rPr>
      </w:pPr>
      <w:r>
        <w:rPr>
          <w:rFonts w:cstheme="minorHAnsi" w:hint="cs"/>
          <w:sz w:val="24"/>
          <w:szCs w:val="24"/>
          <w:rtl/>
        </w:rPr>
        <w:t xml:space="preserve">6 מפגשים, 24 שעות אקדמאיות, פעם בשבוע בימי שני בין השעות 20:00 </w:t>
      </w:r>
      <w:r>
        <w:rPr>
          <w:rFonts w:cstheme="minorHAnsi"/>
          <w:sz w:val="24"/>
          <w:szCs w:val="24"/>
          <w:rtl/>
        </w:rPr>
        <w:t>–</w:t>
      </w:r>
      <w:r>
        <w:rPr>
          <w:rFonts w:cstheme="minorHAnsi" w:hint="cs"/>
          <w:sz w:val="24"/>
          <w:szCs w:val="24"/>
          <w:rtl/>
        </w:rPr>
        <w:t xml:space="preserve"> 17:00</w:t>
      </w:r>
      <w:r w:rsidR="00CE410E">
        <w:rPr>
          <w:rFonts w:cstheme="minorHAnsi" w:hint="cs"/>
          <w:sz w:val="24"/>
          <w:szCs w:val="24"/>
          <w:rtl/>
        </w:rPr>
        <w:t xml:space="preserve"> עלות הקורס 400 ₪</w:t>
      </w:r>
    </w:p>
    <w:tbl>
      <w:tblPr>
        <w:tblStyle w:val="a9"/>
        <w:bidiVisual/>
        <w:tblW w:w="8844" w:type="dxa"/>
        <w:tblLook w:val="04A0" w:firstRow="1" w:lastRow="0" w:firstColumn="1" w:lastColumn="0" w:noHBand="0" w:noVBand="1"/>
      </w:tblPr>
      <w:tblGrid>
        <w:gridCol w:w="1610"/>
        <w:gridCol w:w="2694"/>
        <w:gridCol w:w="4540"/>
      </w:tblGrid>
      <w:tr w:rsidR="00A05762" w:rsidRPr="00DA2483" w14:paraId="42BC28AC" w14:textId="77777777" w:rsidTr="009F46E6">
        <w:trPr>
          <w:trHeight w:val="590"/>
        </w:trPr>
        <w:tc>
          <w:tcPr>
            <w:tcW w:w="1610" w:type="dxa"/>
          </w:tcPr>
          <w:p w14:paraId="2E44FB64"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תאריך</w:t>
            </w:r>
          </w:p>
        </w:tc>
        <w:tc>
          <w:tcPr>
            <w:tcW w:w="2694" w:type="dxa"/>
          </w:tcPr>
          <w:p w14:paraId="276CEF37"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נושא מפגש</w:t>
            </w:r>
          </w:p>
        </w:tc>
        <w:tc>
          <w:tcPr>
            <w:tcW w:w="4540" w:type="dxa"/>
          </w:tcPr>
          <w:p w14:paraId="1921DA30"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תיאור</w:t>
            </w:r>
          </w:p>
        </w:tc>
      </w:tr>
      <w:tr w:rsidR="00A05762" w:rsidRPr="00DA2483" w14:paraId="2E428C31" w14:textId="77777777" w:rsidTr="009F46E6">
        <w:trPr>
          <w:trHeight w:val="590"/>
        </w:trPr>
        <w:tc>
          <w:tcPr>
            <w:tcW w:w="1610" w:type="dxa"/>
          </w:tcPr>
          <w:p w14:paraId="47712207" w14:textId="51091727" w:rsidR="00A05762" w:rsidRPr="00DA2483" w:rsidRDefault="00A05762" w:rsidP="009F46E6">
            <w:pPr>
              <w:spacing w:line="360" w:lineRule="auto"/>
              <w:rPr>
                <w:rFonts w:cstheme="minorHAnsi"/>
                <w:sz w:val="24"/>
                <w:szCs w:val="24"/>
                <w:rtl/>
              </w:rPr>
            </w:pPr>
            <w:r>
              <w:rPr>
                <w:rFonts w:cstheme="minorHAnsi" w:hint="cs"/>
                <w:sz w:val="24"/>
                <w:szCs w:val="24"/>
                <w:rtl/>
              </w:rPr>
              <w:t>1.</w:t>
            </w:r>
            <w:r>
              <w:rPr>
                <w:rFonts w:cstheme="minorHAnsi"/>
                <w:sz w:val="24"/>
                <w:szCs w:val="24"/>
                <w:rtl/>
              </w:rPr>
              <w:br/>
            </w:r>
            <w:r w:rsidR="00CE410E">
              <w:rPr>
                <w:rFonts w:cstheme="minorHAnsi" w:hint="cs"/>
                <w:sz w:val="24"/>
                <w:szCs w:val="24"/>
                <w:rtl/>
              </w:rPr>
              <w:t>14/11/2022</w:t>
            </w:r>
          </w:p>
        </w:tc>
        <w:tc>
          <w:tcPr>
            <w:tcW w:w="2694" w:type="dxa"/>
          </w:tcPr>
          <w:p w14:paraId="5A3354B0"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מבוא לכלכלת העסק והיכרות עם מושגי יסוד</w:t>
            </w:r>
          </w:p>
        </w:tc>
        <w:tc>
          <w:tcPr>
            <w:tcW w:w="4540" w:type="dxa"/>
          </w:tcPr>
          <w:p w14:paraId="7E44BE39"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היכרות עם דו"ח רוו"ה, מבנה הוצאות ומושגים פיננסיים וחשבונאיים</w:t>
            </w:r>
          </w:p>
        </w:tc>
      </w:tr>
      <w:tr w:rsidR="00A05762" w:rsidRPr="00DA2483" w14:paraId="75055BAC" w14:textId="77777777" w:rsidTr="009F46E6">
        <w:trPr>
          <w:trHeight w:val="590"/>
        </w:trPr>
        <w:tc>
          <w:tcPr>
            <w:tcW w:w="1610" w:type="dxa"/>
          </w:tcPr>
          <w:p w14:paraId="4A08F477" w14:textId="2F891CA0" w:rsidR="00A05762" w:rsidRPr="00DA2483" w:rsidRDefault="00A05762" w:rsidP="009F46E6">
            <w:pPr>
              <w:spacing w:line="360" w:lineRule="auto"/>
              <w:rPr>
                <w:rFonts w:cstheme="minorHAnsi"/>
                <w:sz w:val="24"/>
                <w:szCs w:val="24"/>
                <w:rtl/>
              </w:rPr>
            </w:pPr>
            <w:r>
              <w:rPr>
                <w:rFonts w:cstheme="minorHAnsi" w:hint="cs"/>
                <w:sz w:val="24"/>
                <w:szCs w:val="24"/>
                <w:rtl/>
              </w:rPr>
              <w:t>2</w:t>
            </w:r>
            <w:r>
              <w:rPr>
                <w:rFonts w:cstheme="minorHAnsi"/>
                <w:sz w:val="24"/>
                <w:szCs w:val="24"/>
                <w:rtl/>
              </w:rPr>
              <w:br/>
            </w:r>
            <w:r w:rsidR="00CE410E">
              <w:rPr>
                <w:rFonts w:cstheme="minorHAnsi" w:hint="cs"/>
                <w:sz w:val="24"/>
                <w:szCs w:val="24"/>
                <w:rtl/>
              </w:rPr>
              <w:t>21/11/2022</w:t>
            </w:r>
          </w:p>
        </w:tc>
        <w:tc>
          <w:tcPr>
            <w:tcW w:w="2694" w:type="dxa"/>
          </w:tcPr>
          <w:p w14:paraId="549749B4"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תכנון רווחיות רצויה ומפתח התמחור</w:t>
            </w:r>
          </w:p>
        </w:tc>
        <w:tc>
          <w:tcPr>
            <w:tcW w:w="4540" w:type="dxa"/>
          </w:tcPr>
          <w:p w14:paraId="4AF35B60"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תמחור והמחרה, תמהיל המוצרים, חישוב נקודת האיזון</w:t>
            </w:r>
          </w:p>
        </w:tc>
      </w:tr>
      <w:tr w:rsidR="00A05762" w:rsidRPr="00DA2483" w14:paraId="37975BBD" w14:textId="77777777" w:rsidTr="009F46E6">
        <w:trPr>
          <w:trHeight w:val="590"/>
        </w:trPr>
        <w:tc>
          <w:tcPr>
            <w:tcW w:w="1610" w:type="dxa"/>
          </w:tcPr>
          <w:p w14:paraId="699AC19B" w14:textId="23EAC330" w:rsidR="00A05762" w:rsidRPr="00DA2483" w:rsidRDefault="00A05762" w:rsidP="009F46E6">
            <w:pPr>
              <w:spacing w:line="360" w:lineRule="auto"/>
              <w:rPr>
                <w:rFonts w:cstheme="minorHAnsi"/>
                <w:sz w:val="24"/>
                <w:szCs w:val="24"/>
                <w:rtl/>
              </w:rPr>
            </w:pPr>
            <w:r>
              <w:rPr>
                <w:rFonts w:cstheme="minorHAnsi" w:hint="cs"/>
                <w:sz w:val="24"/>
                <w:szCs w:val="24"/>
                <w:rtl/>
              </w:rPr>
              <w:t>3</w:t>
            </w:r>
            <w:r>
              <w:rPr>
                <w:rFonts w:cstheme="minorHAnsi"/>
                <w:sz w:val="24"/>
                <w:szCs w:val="24"/>
                <w:rtl/>
              </w:rPr>
              <w:br/>
            </w:r>
            <w:r w:rsidR="00CE410E">
              <w:rPr>
                <w:rFonts w:cstheme="minorHAnsi" w:hint="cs"/>
                <w:sz w:val="24"/>
                <w:szCs w:val="24"/>
                <w:rtl/>
              </w:rPr>
              <w:t>28</w:t>
            </w:r>
            <w:r>
              <w:rPr>
                <w:rFonts w:cstheme="minorHAnsi" w:hint="cs"/>
                <w:sz w:val="24"/>
                <w:szCs w:val="24"/>
                <w:rtl/>
              </w:rPr>
              <w:t>/11/22</w:t>
            </w:r>
          </w:p>
        </w:tc>
        <w:tc>
          <w:tcPr>
            <w:tcW w:w="2694" w:type="dxa"/>
          </w:tcPr>
          <w:p w14:paraId="71023557"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פיתוח עסקי וכדאיות כלכלית</w:t>
            </w:r>
          </w:p>
        </w:tc>
        <w:tc>
          <w:tcPr>
            <w:tcW w:w="4540" w:type="dxa"/>
          </w:tcPr>
          <w:p w14:paraId="7CC5493B"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מודלים לשיפור רווחיות ומדדי כדאיות כלכלית, בחינת התכנות לפרויקטים</w:t>
            </w:r>
          </w:p>
        </w:tc>
      </w:tr>
      <w:tr w:rsidR="00A05762" w:rsidRPr="00DA2483" w14:paraId="4ACEBC8C" w14:textId="77777777" w:rsidTr="009F46E6">
        <w:trPr>
          <w:trHeight w:val="590"/>
        </w:trPr>
        <w:tc>
          <w:tcPr>
            <w:tcW w:w="1610" w:type="dxa"/>
          </w:tcPr>
          <w:p w14:paraId="44A72C83" w14:textId="6F241EB7" w:rsidR="00A05762" w:rsidRPr="00DA2483" w:rsidRDefault="00A05762" w:rsidP="009F46E6">
            <w:pPr>
              <w:spacing w:line="360" w:lineRule="auto"/>
              <w:rPr>
                <w:rFonts w:cstheme="minorHAnsi"/>
                <w:sz w:val="24"/>
                <w:szCs w:val="24"/>
                <w:rtl/>
              </w:rPr>
            </w:pPr>
            <w:r>
              <w:rPr>
                <w:rFonts w:cstheme="minorHAnsi" w:hint="cs"/>
                <w:sz w:val="24"/>
                <w:szCs w:val="24"/>
                <w:rtl/>
              </w:rPr>
              <w:t>4</w:t>
            </w:r>
            <w:r>
              <w:rPr>
                <w:rFonts w:cstheme="minorHAnsi"/>
                <w:sz w:val="24"/>
                <w:szCs w:val="24"/>
                <w:rtl/>
              </w:rPr>
              <w:br/>
            </w:r>
            <w:r w:rsidR="00CE410E">
              <w:rPr>
                <w:rFonts w:cstheme="minorHAnsi" w:hint="cs"/>
                <w:sz w:val="24"/>
                <w:szCs w:val="24"/>
                <w:rtl/>
              </w:rPr>
              <w:t>05/12/2022</w:t>
            </w:r>
          </w:p>
        </w:tc>
        <w:tc>
          <w:tcPr>
            <w:tcW w:w="2694" w:type="dxa"/>
          </w:tcPr>
          <w:p w14:paraId="5C638909"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 xml:space="preserve">רווחיות ותזרים המזומנים </w:t>
            </w:r>
          </w:p>
        </w:tc>
        <w:tc>
          <w:tcPr>
            <w:tcW w:w="4540" w:type="dxa"/>
          </w:tcPr>
          <w:p w14:paraId="718D0A3D"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 xml:space="preserve">בקרה תקציבית, גבייה ותזרים </w:t>
            </w:r>
            <w:r>
              <w:rPr>
                <w:rFonts w:cstheme="minorHAnsi" w:hint="cs"/>
                <w:sz w:val="24"/>
                <w:szCs w:val="24"/>
                <w:rtl/>
              </w:rPr>
              <w:t>ה</w:t>
            </w:r>
            <w:r w:rsidRPr="00DA2483">
              <w:rPr>
                <w:rFonts w:cstheme="minorHAnsi"/>
                <w:sz w:val="24"/>
                <w:szCs w:val="24"/>
                <w:rtl/>
              </w:rPr>
              <w:t>מזומנים, הון חוזר ופערי אשראי</w:t>
            </w:r>
          </w:p>
        </w:tc>
      </w:tr>
      <w:tr w:rsidR="00A05762" w:rsidRPr="00DA2483" w14:paraId="32CB3607" w14:textId="77777777" w:rsidTr="009F46E6">
        <w:trPr>
          <w:trHeight w:val="590"/>
        </w:trPr>
        <w:tc>
          <w:tcPr>
            <w:tcW w:w="1610" w:type="dxa"/>
          </w:tcPr>
          <w:p w14:paraId="78242065" w14:textId="32DB9BCC" w:rsidR="00A05762" w:rsidRPr="00DA2483" w:rsidRDefault="00A05762" w:rsidP="009F46E6">
            <w:pPr>
              <w:spacing w:line="360" w:lineRule="auto"/>
              <w:rPr>
                <w:rFonts w:cstheme="minorHAnsi"/>
                <w:sz w:val="24"/>
                <w:szCs w:val="24"/>
                <w:rtl/>
              </w:rPr>
            </w:pPr>
            <w:r>
              <w:rPr>
                <w:rFonts w:cstheme="minorHAnsi" w:hint="cs"/>
                <w:sz w:val="24"/>
                <w:szCs w:val="24"/>
                <w:rtl/>
              </w:rPr>
              <w:t>5</w:t>
            </w:r>
            <w:r>
              <w:rPr>
                <w:rFonts w:cstheme="minorHAnsi"/>
                <w:sz w:val="24"/>
                <w:szCs w:val="24"/>
                <w:rtl/>
              </w:rPr>
              <w:br/>
            </w:r>
            <w:r w:rsidR="00CE410E">
              <w:rPr>
                <w:rFonts w:cstheme="minorHAnsi" w:hint="cs"/>
                <w:sz w:val="24"/>
                <w:szCs w:val="24"/>
                <w:rtl/>
              </w:rPr>
              <w:t>12/12/2022</w:t>
            </w:r>
          </w:p>
        </w:tc>
        <w:tc>
          <w:tcPr>
            <w:tcW w:w="2694" w:type="dxa"/>
          </w:tcPr>
          <w:p w14:paraId="1CFBC538"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אשראי והתנהלות מול בנקים</w:t>
            </w:r>
          </w:p>
        </w:tc>
        <w:tc>
          <w:tcPr>
            <w:tcW w:w="4540" w:type="dxa"/>
          </w:tcPr>
          <w:p w14:paraId="01C9B902"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מושגי יסוד מעולם הבנקאות, אובליגו וצרכי אשראי, הדגשים בניהול מו"מ בנקאי</w:t>
            </w:r>
          </w:p>
        </w:tc>
      </w:tr>
      <w:tr w:rsidR="00A05762" w:rsidRPr="00DA2483" w14:paraId="027CE7A6" w14:textId="77777777" w:rsidTr="009F46E6">
        <w:trPr>
          <w:trHeight w:val="590"/>
        </w:trPr>
        <w:tc>
          <w:tcPr>
            <w:tcW w:w="1610" w:type="dxa"/>
          </w:tcPr>
          <w:p w14:paraId="38E47C25" w14:textId="0A5FD7BE" w:rsidR="00A05762" w:rsidRPr="00DA2483" w:rsidRDefault="00A05762" w:rsidP="009F46E6">
            <w:pPr>
              <w:spacing w:line="360" w:lineRule="auto"/>
              <w:rPr>
                <w:rFonts w:cstheme="minorHAnsi"/>
                <w:sz w:val="24"/>
                <w:szCs w:val="24"/>
                <w:rtl/>
              </w:rPr>
            </w:pPr>
            <w:r>
              <w:rPr>
                <w:rFonts w:cstheme="minorHAnsi" w:hint="cs"/>
                <w:sz w:val="24"/>
                <w:szCs w:val="24"/>
                <w:rtl/>
              </w:rPr>
              <w:t>6</w:t>
            </w:r>
            <w:r>
              <w:rPr>
                <w:rFonts w:cstheme="minorHAnsi"/>
                <w:sz w:val="24"/>
                <w:szCs w:val="24"/>
                <w:rtl/>
              </w:rPr>
              <w:br/>
            </w:r>
            <w:r w:rsidR="00CE410E">
              <w:rPr>
                <w:rFonts w:cstheme="minorHAnsi" w:hint="cs"/>
                <w:sz w:val="24"/>
                <w:szCs w:val="24"/>
                <w:rtl/>
              </w:rPr>
              <w:t>19/12/2022</w:t>
            </w:r>
          </w:p>
        </w:tc>
        <w:tc>
          <w:tcPr>
            <w:tcW w:w="2694" w:type="dxa"/>
          </w:tcPr>
          <w:p w14:paraId="307B5A81"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היכרות עם מקורות המימון לעסק</w:t>
            </w:r>
          </w:p>
        </w:tc>
        <w:tc>
          <w:tcPr>
            <w:tcW w:w="4540" w:type="dxa"/>
          </w:tcPr>
          <w:p w14:paraId="074BD026" w14:textId="77777777" w:rsidR="00A05762" w:rsidRPr="00DA2483" w:rsidRDefault="00A05762" w:rsidP="009F46E6">
            <w:pPr>
              <w:spacing w:line="360" w:lineRule="auto"/>
              <w:rPr>
                <w:rFonts w:cstheme="minorHAnsi"/>
                <w:sz w:val="24"/>
                <w:szCs w:val="24"/>
                <w:rtl/>
              </w:rPr>
            </w:pPr>
            <w:r w:rsidRPr="00DA2483">
              <w:rPr>
                <w:rFonts w:cstheme="minorHAnsi"/>
                <w:sz w:val="24"/>
                <w:szCs w:val="24"/>
                <w:rtl/>
              </w:rPr>
              <w:t>אפשרויות המימון לעסקים קטנים בינוניים, סקירת קרנות והכנה לקראת בקשות מימון</w:t>
            </w:r>
          </w:p>
        </w:tc>
      </w:tr>
    </w:tbl>
    <w:p w14:paraId="0CCF745E" w14:textId="77777777" w:rsidR="00A05762" w:rsidRDefault="00A05762" w:rsidP="00A05762">
      <w:pPr>
        <w:spacing w:line="360" w:lineRule="auto"/>
        <w:rPr>
          <w:rFonts w:cstheme="minorHAnsi"/>
          <w:sz w:val="24"/>
          <w:szCs w:val="24"/>
          <w:rtl/>
        </w:rPr>
      </w:pPr>
    </w:p>
    <w:p w14:paraId="5C526C8C" w14:textId="77777777" w:rsidR="00F11EC1" w:rsidRDefault="00F11EC1">
      <w:pPr>
        <w:rPr>
          <w:rtl/>
        </w:rPr>
      </w:pPr>
    </w:p>
    <w:sectPr w:rsidR="00F11EC1" w:rsidSect="006B7C4B">
      <w:headerReference w:type="default" r:id="rId6"/>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AD33" w14:textId="77777777" w:rsidR="00106E1C" w:rsidRDefault="00106E1C" w:rsidP="00F11EC1">
      <w:pPr>
        <w:spacing w:after="0" w:line="240" w:lineRule="auto"/>
      </w:pPr>
      <w:r>
        <w:separator/>
      </w:r>
    </w:p>
  </w:endnote>
  <w:endnote w:type="continuationSeparator" w:id="0">
    <w:p w14:paraId="5D84E861" w14:textId="77777777" w:rsidR="00106E1C" w:rsidRDefault="00106E1C" w:rsidP="00F1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F241" w14:textId="77777777" w:rsidR="00F11EC1" w:rsidRDefault="00F11EC1">
    <w:pPr>
      <w:pStyle w:val="a5"/>
    </w:pPr>
    <w:r>
      <w:rPr>
        <w:noProof/>
      </w:rPr>
      <w:drawing>
        <wp:anchor distT="0" distB="0" distL="114300" distR="114300" simplePos="0" relativeHeight="251659264" behindDoc="0" locked="0" layoutInCell="1" allowOverlap="1" wp14:anchorId="30AE4CED" wp14:editId="29C9F1C5">
          <wp:simplePos x="0" y="0"/>
          <wp:positionH relativeFrom="column">
            <wp:posOffset>-914400</wp:posOffset>
          </wp:positionH>
          <wp:positionV relativeFrom="paragraph">
            <wp:posOffset>-765810</wp:posOffset>
          </wp:positionV>
          <wp:extent cx="7577455" cy="138112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דף לוגו תחת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381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8205" w14:textId="77777777" w:rsidR="00106E1C" w:rsidRDefault="00106E1C" w:rsidP="00F11EC1">
      <w:pPr>
        <w:spacing w:after="0" w:line="240" w:lineRule="auto"/>
      </w:pPr>
      <w:r>
        <w:separator/>
      </w:r>
    </w:p>
  </w:footnote>
  <w:footnote w:type="continuationSeparator" w:id="0">
    <w:p w14:paraId="4AF2AEF5" w14:textId="77777777" w:rsidR="00106E1C" w:rsidRDefault="00106E1C" w:rsidP="00F1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797" w14:textId="77777777" w:rsidR="00F11EC1" w:rsidRDefault="00F11EC1">
    <w:pPr>
      <w:pStyle w:val="a3"/>
    </w:pPr>
    <w:r>
      <w:rPr>
        <w:noProof/>
      </w:rPr>
      <w:drawing>
        <wp:anchor distT="0" distB="0" distL="114300" distR="114300" simplePos="0" relativeHeight="251658240" behindDoc="0" locked="0" layoutInCell="1" allowOverlap="1" wp14:anchorId="2C2D2D64" wp14:editId="5C33220E">
          <wp:simplePos x="0" y="0"/>
          <wp:positionH relativeFrom="column">
            <wp:posOffset>-883920</wp:posOffset>
          </wp:positionH>
          <wp:positionV relativeFrom="paragraph">
            <wp:posOffset>-431165</wp:posOffset>
          </wp:positionV>
          <wp:extent cx="7501255" cy="107632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דף לוגו עלי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1255" cy="10763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1C"/>
    <w:rsid w:val="00106E1C"/>
    <w:rsid w:val="00174053"/>
    <w:rsid w:val="0065691C"/>
    <w:rsid w:val="006B7C4B"/>
    <w:rsid w:val="00992D6B"/>
    <w:rsid w:val="00A05762"/>
    <w:rsid w:val="00B641C2"/>
    <w:rsid w:val="00CE410E"/>
    <w:rsid w:val="00F11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4E43A"/>
  <w15:docId w15:val="{A51C6ECE-9958-47CF-A328-E45884BD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EC1"/>
    <w:pPr>
      <w:tabs>
        <w:tab w:val="center" w:pos="4513"/>
        <w:tab w:val="right" w:pos="9026"/>
      </w:tabs>
      <w:spacing w:after="0" w:line="240" w:lineRule="auto"/>
    </w:pPr>
  </w:style>
  <w:style w:type="character" w:customStyle="1" w:styleId="a4">
    <w:name w:val="כותרת עליונה תו"/>
    <w:basedOn w:val="a0"/>
    <w:link w:val="a3"/>
    <w:uiPriority w:val="99"/>
    <w:rsid w:val="00F11EC1"/>
  </w:style>
  <w:style w:type="paragraph" w:styleId="a5">
    <w:name w:val="footer"/>
    <w:basedOn w:val="a"/>
    <w:link w:val="a6"/>
    <w:uiPriority w:val="99"/>
    <w:unhideWhenUsed/>
    <w:rsid w:val="00F11EC1"/>
    <w:pPr>
      <w:tabs>
        <w:tab w:val="center" w:pos="4513"/>
        <w:tab w:val="right" w:pos="9026"/>
      </w:tabs>
      <w:spacing w:after="0" w:line="240" w:lineRule="auto"/>
    </w:pPr>
  </w:style>
  <w:style w:type="character" w:customStyle="1" w:styleId="a6">
    <w:name w:val="כותרת תחתונה תו"/>
    <w:basedOn w:val="a0"/>
    <w:link w:val="a5"/>
    <w:uiPriority w:val="99"/>
    <w:rsid w:val="00F11EC1"/>
  </w:style>
  <w:style w:type="paragraph" w:styleId="a7">
    <w:name w:val="Balloon Text"/>
    <w:basedOn w:val="a"/>
    <w:link w:val="a8"/>
    <w:uiPriority w:val="99"/>
    <w:semiHidden/>
    <w:unhideWhenUsed/>
    <w:rsid w:val="00F11EC1"/>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F11EC1"/>
    <w:rPr>
      <w:rFonts w:ascii="Tahoma" w:hAnsi="Tahoma" w:cs="Tahoma"/>
      <w:sz w:val="16"/>
      <w:szCs w:val="16"/>
    </w:rPr>
  </w:style>
  <w:style w:type="table" w:styleId="a9">
    <w:name w:val="Table Grid"/>
    <w:basedOn w:val="a1"/>
    <w:uiPriority w:val="59"/>
    <w:rsid w:val="00A057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Hadar Lagziel</dc:creator>
  <cp:lastModifiedBy>Hadar Lagziel</cp:lastModifiedBy>
  <cp:revision>5</cp:revision>
  <dcterms:created xsi:type="dcterms:W3CDTF">2022-08-03T07:05:00Z</dcterms:created>
  <dcterms:modified xsi:type="dcterms:W3CDTF">2022-10-06T06:44:00Z</dcterms:modified>
</cp:coreProperties>
</file>